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09" w:rsidRDefault="00877209"/>
    <w:p w:rsidR="009C43C6" w:rsidRDefault="009C43C6"/>
    <w:p w:rsidR="009C43C6" w:rsidRPr="009C43C6" w:rsidRDefault="009C43C6" w:rsidP="009C43C6">
      <w:pPr>
        <w:spacing w:after="0"/>
        <w:rPr>
          <w:rFonts w:ascii="Verdana" w:eastAsia="Times New Roman" w:hAnsi="Verdana" w:cs="Times New Roman"/>
          <w:sz w:val="18"/>
          <w:szCs w:val="18"/>
        </w:rPr>
      </w:pPr>
      <w:r>
        <w:rPr>
          <w:rFonts w:ascii="Tahoma" w:eastAsia="Times New Roman" w:hAnsi="Tahoma" w:cs="Tahoma"/>
          <w:b/>
          <w:bCs/>
          <w:sz w:val="27"/>
          <w:szCs w:val="27"/>
        </w:rPr>
        <w:t xml:space="preserve">AC313                                       Chapter 15                                  </w:t>
      </w:r>
      <w:bookmarkStart w:id="0" w:name="_GoBack"/>
      <w:bookmarkEnd w:id="0"/>
      <w:r w:rsidRPr="009C43C6">
        <w:rPr>
          <w:rFonts w:ascii="Tahoma" w:eastAsia="Times New Roman" w:hAnsi="Tahoma" w:cs="Tahoma"/>
          <w:b/>
          <w:bCs/>
          <w:sz w:val="27"/>
          <w:szCs w:val="27"/>
        </w:rPr>
        <w:t>Glossary</w:t>
      </w:r>
      <w:r w:rsidRPr="009C43C6">
        <w:rPr>
          <w:rFonts w:ascii="Verdana" w:eastAsia="Times New Roman" w:hAnsi="Verdana" w:cs="Times New Roman"/>
          <w:sz w:val="18"/>
          <w:szCs w:val="18"/>
        </w:rPr>
        <w:br/>
      </w:r>
    </w:p>
    <w:tbl>
      <w:tblPr>
        <w:tblW w:w="5000" w:type="pct"/>
        <w:tblCellSpacing w:w="0" w:type="dxa"/>
        <w:tblCellMar>
          <w:left w:w="0" w:type="dxa"/>
          <w:right w:w="0" w:type="dxa"/>
        </w:tblCellMar>
        <w:tblLook w:val="04A0" w:firstRow="1" w:lastRow="0" w:firstColumn="1" w:lastColumn="0" w:noHBand="0" w:noVBand="1"/>
      </w:tblPr>
      <w:tblGrid>
        <w:gridCol w:w="9360"/>
      </w:tblGrid>
      <w:tr w:rsidR="009C43C6" w:rsidRPr="009C43C6">
        <w:trPr>
          <w:tblCellSpacing w:w="0" w:type="dxa"/>
        </w:trPr>
        <w:tc>
          <w:tcPr>
            <w:tcW w:w="0" w:type="auto"/>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17145"/>
                  <wp:effectExtent l="0" t="0" r="0" b="0"/>
                  <wp:docPr id="36" name="Picture 3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17145"/>
                          </a:xfrm>
                          <a:prstGeom prst="rect">
                            <a:avLst/>
                          </a:prstGeom>
                          <a:noFill/>
                          <a:ln>
                            <a:noFill/>
                          </a:ln>
                        </pic:spPr>
                      </pic:pic>
                    </a:graphicData>
                  </a:graphic>
                </wp:inline>
              </w:drawing>
            </w:r>
          </w:p>
        </w:tc>
      </w:tr>
      <w:tr w:rsidR="009C43C6" w:rsidRPr="009C43C6">
        <w:trPr>
          <w:tblCellSpacing w:w="0" w:type="dxa"/>
        </w:trPr>
        <w:tc>
          <w:tcPr>
            <w:tcW w:w="0" w:type="auto"/>
            <w:shd w:val="clear" w:color="auto" w:fill="CCCCCC"/>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17145"/>
                  <wp:effectExtent l="0" t="0" r="0" b="0"/>
                  <wp:docPr id="35" name="Picture 3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17145"/>
                          </a:xfrm>
                          <a:prstGeom prst="rect">
                            <a:avLst/>
                          </a:prstGeom>
                          <a:noFill/>
                          <a:ln>
                            <a:noFill/>
                          </a:ln>
                        </pic:spPr>
                      </pic:pic>
                    </a:graphicData>
                  </a:graphic>
                </wp:inline>
              </w:drawing>
            </w:r>
          </w:p>
        </w:tc>
      </w:tr>
      <w:tr w:rsidR="009C43C6" w:rsidRPr="009C43C6">
        <w:trPr>
          <w:tblCellSpacing w:w="0" w:type="dxa"/>
        </w:trPr>
        <w:tc>
          <w:tcPr>
            <w:tcW w:w="0" w:type="auto"/>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34290"/>
                  <wp:effectExtent l="0" t="0" r="0" b="0"/>
                  <wp:docPr id="34" name="Picture 3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34290"/>
                          </a:xfrm>
                          <a:prstGeom prst="rect">
                            <a:avLst/>
                          </a:prstGeom>
                          <a:noFill/>
                          <a:ln>
                            <a:noFill/>
                          </a:ln>
                        </pic:spPr>
                      </pic:pic>
                    </a:graphicData>
                  </a:graphic>
                </wp:inline>
              </w:drawing>
            </w:r>
          </w:p>
        </w:tc>
      </w:tr>
    </w:tbl>
    <w:p w:rsidR="009C43C6" w:rsidRPr="009C43C6" w:rsidRDefault="009C43C6" w:rsidP="009C43C6">
      <w:pPr>
        <w:spacing w:after="0"/>
        <w:rPr>
          <w:rFonts w:ascii="Verdana" w:eastAsia="Times New Roman" w:hAnsi="Verdana" w:cs="Times New Roman"/>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2607"/>
        <w:gridCol w:w="6753"/>
      </w:tblGrid>
      <w:tr w:rsidR="009C43C6" w:rsidRPr="009C43C6">
        <w:trPr>
          <w:tblCellSpacing w:w="0" w:type="dxa"/>
        </w:trPr>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b/>
                <w:bCs/>
                <w:sz w:val="18"/>
                <w:szCs w:val="18"/>
              </w:rPr>
              <w:t>10K report</w:t>
            </w:r>
            <w:r w:rsidRPr="009C43C6">
              <w:rPr>
                <w:rFonts w:ascii="Verdana" w:eastAsia="Times New Roman" w:hAnsi="Verdana" w:cs="Times New Roman"/>
                <w:sz w:val="18"/>
                <w:szCs w:val="18"/>
              </w:rPr>
              <w:t xml:space="preserve"> </w:t>
            </w:r>
          </w:p>
        </w:tc>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sz w:val="18"/>
                <w:szCs w:val="18"/>
              </w:rPr>
              <w:t>Annual report containing a company's annual financial statements plus a substantial amount of other information; filing with the SEC required of all publicly traded companies.</w:t>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33" name="Picture 3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gridSpan w:val="2"/>
            <w:shd w:val="clear" w:color="auto" w:fill="CCCCCC"/>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32" name="Picture 3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31" name="Picture 3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b/>
                <w:bCs/>
                <w:sz w:val="18"/>
                <w:szCs w:val="18"/>
              </w:rPr>
              <w:t>Control Objectives for Information and Related Technology (COBIT)</w:t>
            </w:r>
            <w:r w:rsidRPr="009C43C6">
              <w:rPr>
                <w:rFonts w:ascii="Verdana" w:eastAsia="Times New Roman" w:hAnsi="Verdana" w:cs="Times New Roman"/>
                <w:sz w:val="18"/>
                <w:szCs w:val="18"/>
              </w:rPr>
              <w:t xml:space="preserve"> </w:t>
            </w:r>
          </w:p>
        </w:tc>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sz w:val="18"/>
                <w:szCs w:val="18"/>
              </w:rPr>
              <w:t>Information technology security and control standard published by the Information Systems Audit and Control Association.</w:t>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30" name="Picture 3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gridSpan w:val="2"/>
            <w:shd w:val="clear" w:color="auto" w:fill="CCCCCC"/>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29" name="Picture 2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28" name="Picture 2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b/>
                <w:bCs/>
                <w:sz w:val="18"/>
                <w:szCs w:val="18"/>
              </w:rPr>
              <w:t>" Enterprise Risk Management—Integrated Framework "</w:t>
            </w:r>
            <w:r w:rsidRPr="009C43C6">
              <w:rPr>
                <w:rFonts w:ascii="Verdana" w:eastAsia="Times New Roman" w:hAnsi="Verdana" w:cs="Times New Roman"/>
                <w:sz w:val="18"/>
                <w:szCs w:val="18"/>
              </w:rPr>
              <w:t xml:space="preserve"> </w:t>
            </w:r>
          </w:p>
        </w:tc>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sz w:val="18"/>
                <w:szCs w:val="18"/>
              </w:rPr>
              <w:t>COSO report that defines and explains enterprise risk management.</w:t>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27" name="Picture 2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gridSpan w:val="2"/>
            <w:shd w:val="clear" w:color="auto" w:fill="CCCCCC"/>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26" name="Picture 2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25" name="Picture 2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b/>
                <w:bCs/>
                <w:sz w:val="18"/>
                <w:szCs w:val="18"/>
              </w:rPr>
              <w:t>enterprise risk management (ERM)</w:t>
            </w:r>
            <w:r w:rsidRPr="009C43C6">
              <w:rPr>
                <w:rFonts w:ascii="Verdana" w:eastAsia="Times New Roman" w:hAnsi="Verdana" w:cs="Times New Roman"/>
                <w:sz w:val="18"/>
                <w:szCs w:val="18"/>
              </w:rPr>
              <w:t xml:space="preserve"> </w:t>
            </w:r>
          </w:p>
        </w:tc>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sz w:val="18"/>
                <w:szCs w:val="18"/>
              </w:rPr>
              <w:t>Process effected by an entity's board of directors, management, and other personnel in strategy setting across the enterprise to identify potential events that could affect the entity, to manage risk within its risk appetite, and to provide reasonable assurance regarding the achievement of entity objectives.</w:t>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24" name="Picture 2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gridSpan w:val="2"/>
            <w:shd w:val="clear" w:color="auto" w:fill="CCCCCC"/>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23" name="Picture 2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22" name="Picture 2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b/>
                <w:bCs/>
                <w:sz w:val="18"/>
                <w:szCs w:val="18"/>
              </w:rPr>
              <w:t>Guidelines Manual</w:t>
            </w:r>
            <w:r w:rsidRPr="009C43C6">
              <w:rPr>
                <w:rFonts w:ascii="Verdana" w:eastAsia="Times New Roman" w:hAnsi="Verdana" w:cs="Times New Roman"/>
                <w:sz w:val="18"/>
                <w:szCs w:val="18"/>
              </w:rPr>
              <w:t xml:space="preserve"> </w:t>
            </w:r>
          </w:p>
        </w:tc>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sz w:val="18"/>
                <w:szCs w:val="18"/>
              </w:rPr>
              <w:t>Product of the United States Sentencing Commission that contains a section providing mitigating factors for corporations with acceptable internal control and ethics systems.</w:t>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21" name="Picture 2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gridSpan w:val="2"/>
            <w:shd w:val="clear" w:color="auto" w:fill="CCCCCC"/>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20" name="Picture 2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19" name="Picture 1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b/>
                <w:bCs/>
                <w:sz w:val="18"/>
                <w:szCs w:val="18"/>
              </w:rPr>
              <w:t>"Internal Control—Integrated Framework"</w:t>
            </w:r>
            <w:r w:rsidRPr="009C43C6">
              <w:rPr>
                <w:rFonts w:ascii="Verdana" w:eastAsia="Times New Roman" w:hAnsi="Verdana" w:cs="Times New Roman"/>
                <w:sz w:val="18"/>
                <w:szCs w:val="18"/>
              </w:rPr>
              <w:t xml:space="preserve"> </w:t>
            </w:r>
          </w:p>
        </w:tc>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sz w:val="18"/>
                <w:szCs w:val="18"/>
              </w:rPr>
              <w:t>COSO report of 1992 that defines internal control processes in a comprehensive way.</w:t>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18" name="Picture 1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gridSpan w:val="2"/>
            <w:shd w:val="clear" w:color="auto" w:fill="CCCCCC"/>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17" name="Picture 1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16" name="Picture 1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b/>
                <w:bCs/>
                <w:sz w:val="18"/>
                <w:szCs w:val="18"/>
              </w:rPr>
              <w:t>ISO 27002</w:t>
            </w:r>
            <w:r w:rsidRPr="009C43C6">
              <w:rPr>
                <w:rFonts w:ascii="Verdana" w:eastAsia="Times New Roman" w:hAnsi="Verdana" w:cs="Times New Roman"/>
                <w:sz w:val="18"/>
                <w:szCs w:val="18"/>
              </w:rPr>
              <w:t xml:space="preserve"> </w:t>
            </w:r>
          </w:p>
        </w:tc>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sz w:val="18"/>
                <w:szCs w:val="18"/>
              </w:rPr>
              <w:t>Code of Practice replaced by ISO 27002.</w:t>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15" name="Picture 1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gridSpan w:val="2"/>
            <w:shd w:val="clear" w:color="auto" w:fill="CCCCCC"/>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14" name="Picture 1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13" name="Picture 1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b/>
                <w:bCs/>
                <w:sz w:val="18"/>
                <w:szCs w:val="18"/>
              </w:rPr>
              <w:t>ISO/IEC 17799</w:t>
            </w:r>
            <w:r w:rsidRPr="009C43C6">
              <w:rPr>
                <w:rFonts w:ascii="Verdana" w:eastAsia="Times New Roman" w:hAnsi="Verdana" w:cs="Times New Roman"/>
                <w:sz w:val="18"/>
                <w:szCs w:val="18"/>
              </w:rPr>
              <w:t xml:space="preserve"> </w:t>
            </w:r>
          </w:p>
        </w:tc>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sz w:val="18"/>
                <w:szCs w:val="18"/>
              </w:rPr>
              <w:t xml:space="preserve">Code of Practice for information security management published by the International Organization for Standardization and the International </w:t>
            </w:r>
            <w:proofErr w:type="spellStart"/>
            <w:r w:rsidRPr="009C43C6">
              <w:rPr>
                <w:rFonts w:ascii="Verdana" w:eastAsia="Times New Roman" w:hAnsi="Verdana" w:cs="Times New Roman"/>
                <w:sz w:val="18"/>
                <w:szCs w:val="18"/>
              </w:rPr>
              <w:t>Electrotechnical</w:t>
            </w:r>
            <w:proofErr w:type="spellEnd"/>
            <w:r w:rsidRPr="009C43C6">
              <w:rPr>
                <w:rFonts w:ascii="Verdana" w:eastAsia="Times New Roman" w:hAnsi="Verdana" w:cs="Times New Roman"/>
                <w:sz w:val="18"/>
                <w:szCs w:val="18"/>
              </w:rPr>
              <w:t xml:space="preserve"> Commission.</w:t>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12" name="Picture 1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gridSpan w:val="2"/>
            <w:shd w:val="clear" w:color="auto" w:fill="CCCCCC"/>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11" name="Picture 1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10" name="Picture 1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b/>
                <w:bCs/>
                <w:sz w:val="18"/>
                <w:szCs w:val="18"/>
              </w:rPr>
              <w:t>Office of the SEC Chief Accountant</w:t>
            </w:r>
            <w:r w:rsidRPr="009C43C6">
              <w:rPr>
                <w:rFonts w:ascii="Verdana" w:eastAsia="Times New Roman" w:hAnsi="Verdana" w:cs="Times New Roman"/>
                <w:sz w:val="18"/>
                <w:szCs w:val="18"/>
              </w:rPr>
              <w:t xml:space="preserve"> </w:t>
            </w:r>
          </w:p>
        </w:tc>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sz w:val="18"/>
                <w:szCs w:val="18"/>
              </w:rPr>
              <w:t>Individual who advises the SEC on accounting and auditing matters and works closely with various accounting and auditing standards setting bodies, including the FASB, the IASB, the AICPA, and the PCAOB.</w:t>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9" name="Picture 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gridSpan w:val="2"/>
            <w:shd w:val="clear" w:color="auto" w:fill="CCCCCC"/>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8" name="Picture 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7" name="Picture 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b/>
                <w:bCs/>
                <w:sz w:val="18"/>
                <w:szCs w:val="18"/>
              </w:rPr>
              <w:t>Public Company Accounting Oversight Board</w:t>
            </w:r>
            <w:r w:rsidRPr="009C43C6">
              <w:rPr>
                <w:rFonts w:ascii="Verdana" w:eastAsia="Times New Roman" w:hAnsi="Verdana" w:cs="Times New Roman"/>
                <w:sz w:val="18"/>
                <w:szCs w:val="18"/>
              </w:rPr>
              <w:t xml:space="preserve"> </w:t>
            </w:r>
          </w:p>
        </w:tc>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sz w:val="18"/>
                <w:szCs w:val="18"/>
              </w:rPr>
              <w:t>A SOX-created organization that oversees auditors of public companies.</w:t>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6" name="Picture 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gridSpan w:val="2"/>
            <w:shd w:val="clear" w:color="auto" w:fill="CCCCCC"/>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5" name="Picture 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4" name="Picture 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b/>
                <w:bCs/>
                <w:sz w:val="18"/>
                <w:szCs w:val="18"/>
              </w:rPr>
              <w:t>Report of the National Commission on Fraudulent Financial Reporting</w:t>
            </w:r>
            <w:r w:rsidRPr="009C43C6">
              <w:rPr>
                <w:rFonts w:ascii="Verdana" w:eastAsia="Times New Roman" w:hAnsi="Verdana" w:cs="Times New Roman"/>
                <w:sz w:val="18"/>
                <w:szCs w:val="18"/>
              </w:rPr>
              <w:t xml:space="preserve"> </w:t>
            </w:r>
          </w:p>
        </w:tc>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sz w:val="18"/>
                <w:szCs w:val="18"/>
              </w:rPr>
              <w:t xml:space="preserve">COSO report of 1987, part of the </w:t>
            </w:r>
            <w:proofErr w:type="spellStart"/>
            <w:r w:rsidRPr="009C43C6">
              <w:rPr>
                <w:rFonts w:ascii="Verdana" w:eastAsia="Times New Roman" w:hAnsi="Verdana" w:cs="Times New Roman"/>
                <w:sz w:val="18"/>
                <w:szCs w:val="18"/>
              </w:rPr>
              <w:t>Treadway</w:t>
            </w:r>
            <w:proofErr w:type="spellEnd"/>
            <w:r w:rsidRPr="009C43C6">
              <w:rPr>
                <w:rFonts w:ascii="Verdana" w:eastAsia="Times New Roman" w:hAnsi="Verdana" w:cs="Times New Roman"/>
                <w:sz w:val="18"/>
                <w:szCs w:val="18"/>
              </w:rPr>
              <w:t xml:space="preserve"> </w:t>
            </w:r>
            <w:proofErr w:type="gramStart"/>
            <w:r w:rsidRPr="009C43C6">
              <w:rPr>
                <w:rFonts w:ascii="Verdana" w:eastAsia="Times New Roman" w:hAnsi="Verdana" w:cs="Times New Roman"/>
                <w:sz w:val="18"/>
                <w:szCs w:val="18"/>
              </w:rPr>
              <w:t>Report, that</w:t>
            </w:r>
            <w:proofErr w:type="gramEnd"/>
            <w:r w:rsidRPr="009C43C6">
              <w:rPr>
                <w:rFonts w:ascii="Verdana" w:eastAsia="Times New Roman" w:hAnsi="Verdana" w:cs="Times New Roman"/>
                <w:sz w:val="18"/>
                <w:szCs w:val="18"/>
              </w:rPr>
              <w:t xml:space="preserve"> focuses on preventing fraudulent financial reporting.</w:t>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3" name="Picture 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gridSpan w:val="2"/>
            <w:shd w:val="clear" w:color="auto" w:fill="CCCCCC"/>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2" name="Picture 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C43C6" w:rsidRPr="009C43C6">
        <w:trPr>
          <w:tblCellSpacing w:w="0" w:type="dxa"/>
        </w:trPr>
        <w:tc>
          <w:tcPr>
            <w:tcW w:w="0" w:type="auto"/>
            <w:gridSpan w:val="2"/>
            <w:vAlign w:val="center"/>
            <w:hideMark/>
          </w:tcPr>
          <w:p w:rsidR="009C43C6" w:rsidRPr="009C43C6" w:rsidRDefault="009C43C6" w:rsidP="009C43C6">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1" name="Picture 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C43C6" w:rsidRPr="009C43C6">
        <w:trPr>
          <w:tblCellSpacing w:w="0" w:type="dxa"/>
        </w:trPr>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b/>
                <w:bCs/>
                <w:sz w:val="18"/>
                <w:szCs w:val="18"/>
              </w:rPr>
              <w:t>United States Sentencing Commission</w:t>
            </w:r>
            <w:r w:rsidRPr="009C43C6">
              <w:rPr>
                <w:rFonts w:ascii="Verdana" w:eastAsia="Times New Roman" w:hAnsi="Verdana" w:cs="Times New Roman"/>
                <w:sz w:val="18"/>
                <w:szCs w:val="18"/>
              </w:rPr>
              <w:t xml:space="preserve"> </w:t>
            </w:r>
          </w:p>
        </w:tc>
        <w:tc>
          <w:tcPr>
            <w:tcW w:w="0" w:type="auto"/>
            <w:hideMark/>
          </w:tcPr>
          <w:p w:rsidR="009C43C6" w:rsidRPr="009C43C6" w:rsidRDefault="009C43C6" w:rsidP="009C43C6">
            <w:pPr>
              <w:spacing w:after="0"/>
              <w:rPr>
                <w:rFonts w:ascii="Verdana" w:eastAsia="Times New Roman" w:hAnsi="Verdana" w:cs="Times New Roman"/>
                <w:sz w:val="18"/>
                <w:szCs w:val="18"/>
              </w:rPr>
            </w:pPr>
            <w:r w:rsidRPr="009C43C6">
              <w:rPr>
                <w:rFonts w:ascii="Verdana" w:eastAsia="Times New Roman" w:hAnsi="Verdana" w:cs="Times New Roman"/>
                <w:sz w:val="18"/>
                <w:szCs w:val="18"/>
              </w:rPr>
              <w:t>Commission charged with setting uniform federal sentencing guidelines specified in its Guidelines Manual that require judges to base their sentences on a point system.</w:t>
            </w:r>
          </w:p>
        </w:tc>
      </w:tr>
    </w:tbl>
    <w:p w:rsidR="009C43C6" w:rsidRDefault="009C43C6"/>
    <w:sectPr w:rsidR="009C4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C6"/>
    <w:rsid w:val="00877209"/>
    <w:rsid w:val="009C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3C6"/>
    <w:rPr>
      <w:color w:val="0000FF"/>
      <w:u w:val="single"/>
    </w:rPr>
  </w:style>
  <w:style w:type="character" w:customStyle="1" w:styleId="pagetitle1">
    <w:name w:val="pagetitle1"/>
    <w:basedOn w:val="DefaultParagraphFont"/>
    <w:rsid w:val="009C43C6"/>
    <w:rPr>
      <w:rFonts w:ascii="Tahoma" w:hAnsi="Tahoma" w:cs="Tahoma" w:hint="default"/>
      <w:b/>
      <w:bCs/>
      <w:sz w:val="27"/>
      <w:szCs w:val="27"/>
    </w:rPr>
  </w:style>
  <w:style w:type="paragraph" w:styleId="BalloonText">
    <w:name w:val="Balloon Text"/>
    <w:basedOn w:val="Normal"/>
    <w:link w:val="BalloonTextChar"/>
    <w:uiPriority w:val="99"/>
    <w:semiHidden/>
    <w:unhideWhenUsed/>
    <w:rsid w:val="009C43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3C6"/>
    <w:rPr>
      <w:color w:val="0000FF"/>
      <w:u w:val="single"/>
    </w:rPr>
  </w:style>
  <w:style w:type="character" w:customStyle="1" w:styleId="pagetitle1">
    <w:name w:val="pagetitle1"/>
    <w:basedOn w:val="DefaultParagraphFont"/>
    <w:rsid w:val="009C43C6"/>
    <w:rPr>
      <w:rFonts w:ascii="Tahoma" w:hAnsi="Tahoma" w:cs="Tahoma" w:hint="default"/>
      <w:b/>
      <w:bCs/>
      <w:sz w:val="27"/>
      <w:szCs w:val="27"/>
    </w:rPr>
  </w:style>
  <w:style w:type="paragraph" w:styleId="BalloonText">
    <w:name w:val="Balloon Text"/>
    <w:basedOn w:val="Normal"/>
    <w:link w:val="BalloonTextChar"/>
    <w:uiPriority w:val="99"/>
    <w:semiHidden/>
    <w:unhideWhenUsed/>
    <w:rsid w:val="009C43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2012-06-27T18:30:00Z</dcterms:created>
  <dcterms:modified xsi:type="dcterms:W3CDTF">2012-06-27T18:33:00Z</dcterms:modified>
</cp:coreProperties>
</file>