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09" w:rsidRDefault="00877209"/>
    <w:p w:rsidR="0074151C" w:rsidRDefault="0074151C"/>
    <w:p w:rsidR="0074151C" w:rsidRPr="0074151C" w:rsidRDefault="0074151C" w:rsidP="0074151C">
      <w:pPr>
        <w:spacing w:after="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27"/>
          <w:szCs w:val="27"/>
        </w:rPr>
        <w:t xml:space="preserve">AC313                                       Chapter 6                                    </w:t>
      </w:r>
      <w:bookmarkStart w:id="0" w:name="_GoBack"/>
      <w:bookmarkEnd w:id="0"/>
      <w:r w:rsidRPr="0074151C">
        <w:rPr>
          <w:rFonts w:ascii="Tahoma" w:eastAsia="Times New Roman" w:hAnsi="Tahoma" w:cs="Tahoma"/>
          <w:b/>
          <w:bCs/>
          <w:sz w:val="27"/>
          <w:szCs w:val="27"/>
        </w:rPr>
        <w:t>Glossary</w:t>
      </w:r>
      <w:r w:rsidRPr="0074151C">
        <w:rPr>
          <w:rFonts w:ascii="Verdana" w:eastAsia="Times New Roman" w:hAnsi="Verdana" w:cs="Times New Roman"/>
          <w:sz w:val="18"/>
          <w:szCs w:val="18"/>
        </w:rPr>
        <w:br/>
      </w:r>
      <w:r w:rsidRPr="0074151C">
        <w:rPr>
          <w:rFonts w:ascii="Verdana" w:eastAsia="Times New Roman" w:hAnsi="Verdana" w:cs="Times New Roman"/>
          <w:sz w:val="18"/>
          <w:szCs w:val="18"/>
        </w:rPr>
        <w:br w:type="textWrapping" w:clear="all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4151C" w:rsidRPr="00741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19050"/>
                  <wp:effectExtent l="0" t="0" r="0" b="0"/>
                  <wp:docPr id="48" name="Picture 48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19050"/>
                  <wp:effectExtent l="0" t="0" r="0" b="0"/>
                  <wp:docPr id="47" name="Picture 47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38100"/>
                  <wp:effectExtent l="0" t="0" r="0" b="0"/>
                  <wp:docPr id="46" name="Picture 46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51C" w:rsidRPr="0074151C" w:rsidRDefault="0074151C" w:rsidP="0074151C">
      <w:pPr>
        <w:spacing w:after="0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6613"/>
      </w:tblGrid>
      <w:tr w:rsidR="0074151C" w:rsidRPr="0074151C">
        <w:trPr>
          <w:tblCellSpacing w:w="0" w:type="dxa"/>
        </w:trPr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74151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Benford's</w:t>
            </w:r>
            <w:proofErr w:type="spellEnd"/>
            <w:r w:rsidRPr="0074151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law</w:t>
            </w: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>A fraud indicator that predicts the relative incidence of first digits of numbers in certain types of random data.</w:t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45" name="Picture 45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44" name="Picture 44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43" name="Picture 43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composite fraud indicator</w:t>
            </w: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 xml:space="preserve">A single-number fraud indicator that is computed from a formula that involves possibly many factors; also known as </w:t>
            </w:r>
            <w:r w:rsidRPr="0074151C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risk score. </w:t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42" name="Picture 42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41" name="Picture 41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40" name="Picture 40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content analysis and text analysis</w:t>
            </w: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>Data-mining techniques that involve using algorithms to analyze and interpret the content of documents and conversations.</w:t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39" name="Picture 39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38" name="Picture 38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37" name="Picture 37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discovery sampling</w:t>
            </w: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>A statistical technique in which the investigator selects a random sample in such a way to have a high probability of detecting a particular type and size error or fraud.</w:t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36" name="Picture 36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35" name="Picture 35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34" name="Picture 34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false negative</w:t>
            </w: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>In fraud detection, the result that occurs when a detective control fails to signal possible fraud when one exists. Reducing false negatives means increasing the fraud detection rate.</w:t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33" name="Picture 33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31" name="Picture 31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false positive</w:t>
            </w: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>In fraud detection, the result that occurs when a detective control signals a possible fraud that upon investigation indicates a reasonable explanation.</w:t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30" name="Picture 30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9" name="Picture 29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28" name="Picture 28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fraud detection process</w:t>
            </w: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>Method that involves identifying indicators of fraud that suggest a need for further investigation.</w:t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27" name="Picture 27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6" name="Picture 26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25" name="Picture 25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fraud triangle</w:t>
            </w: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>One means of assessing the risk that a particular individual may commit fraud. The three ''sides'' of the triangle are pressure/incentive, opportunity, and rationalization/attitude; they appear in almost all fraud cases.</w:t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24" name="Picture 24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23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22" name="Picture 22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inspector general</w:t>
            </w: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>An individual in government agencies whose job includes investigating possible frauds.</w:t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21" name="Picture 21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0" name="Picture 20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9" name="Picture 19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pattern data analysis</w:t>
            </w: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 xml:space="preserve">An analytical technique that builds fraud indicators from data items that, individually speaking, appear to be unrelated to fraud; also known as </w:t>
            </w:r>
            <w:r w:rsidRPr="0074151C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data mining. </w:t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8" name="Picture 18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7" name="Picture 17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6" name="Picture 16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red flag</w:t>
            </w: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 xml:space="preserve">See </w:t>
            </w:r>
            <w:r w:rsidRPr="0074151C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single-factor fraud indicator. </w:t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5" name="Picture 15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14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3" name="Picture 13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risk score</w:t>
            </w: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 xml:space="preserve">See </w:t>
            </w:r>
            <w:r w:rsidRPr="0074151C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composite fraud indicator. </w:t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2" name="Picture 12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1" name="Picture 11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0" name="Picture 10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SAS No. 99, </w:t>
            </w:r>
            <w:r w:rsidRPr="0074151C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 xml:space="preserve">Consideration of Fraud in a Financial Statement Audit </w:t>
            </w:r>
          </w:p>
        </w:tc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>Statement that requires auditors to design financial statement audits so they have a reasonable chance of detecting misstatements in the financial reports.</w:t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9" name="Picture 9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7" name="Picture 7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SEMMA</w:t>
            </w: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>The five steps of the data mining process: sampling, exploration, modification, modeling, and assessment.</w:t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6" name="Picture 6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4" name="Picture 4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single-factor fraud indicator</w:t>
            </w: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 xml:space="preserve">A composite fraud indicator made up of only one factor; also knows as a </w:t>
            </w:r>
            <w:r w:rsidRPr="0074151C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red flag. </w:t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3" name="Picture 3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" name="Picture 1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1C" w:rsidRPr="0074151C">
        <w:trPr>
          <w:tblCellSpacing w:w="0" w:type="dxa"/>
        </w:trPr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total fraud costs (TFC)</w:t>
            </w: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4151C" w:rsidRPr="0074151C" w:rsidRDefault="0074151C" w:rsidP="0074151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4151C">
              <w:rPr>
                <w:rFonts w:ascii="Verdana" w:eastAsia="Times New Roman" w:hAnsi="Verdana" w:cs="Times New Roman"/>
                <w:sz w:val="18"/>
                <w:szCs w:val="18"/>
              </w:rPr>
              <w:t>Cost calculated as: Prevention Costs + Detection Costs + Correction Costs + Fraud Losses.</w:t>
            </w:r>
          </w:p>
        </w:tc>
      </w:tr>
    </w:tbl>
    <w:p w:rsidR="0074151C" w:rsidRDefault="0074151C"/>
    <w:sectPr w:rsidR="00741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1C"/>
    <w:rsid w:val="0074151C"/>
    <w:rsid w:val="0087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151C"/>
    <w:rPr>
      <w:color w:val="0000FF"/>
      <w:u w:val="single"/>
    </w:rPr>
  </w:style>
  <w:style w:type="character" w:customStyle="1" w:styleId="pagetitle1">
    <w:name w:val="pagetitle1"/>
    <w:basedOn w:val="DefaultParagraphFont"/>
    <w:rsid w:val="0074151C"/>
    <w:rPr>
      <w:rFonts w:ascii="Tahoma" w:hAnsi="Tahoma" w:cs="Tahoma" w:hint="default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5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151C"/>
    <w:rPr>
      <w:color w:val="0000FF"/>
      <w:u w:val="single"/>
    </w:rPr>
  </w:style>
  <w:style w:type="character" w:customStyle="1" w:styleId="pagetitle1">
    <w:name w:val="pagetitle1"/>
    <w:basedOn w:val="DefaultParagraphFont"/>
    <w:rsid w:val="0074151C"/>
    <w:rPr>
      <w:rFonts w:ascii="Tahoma" w:hAnsi="Tahoma" w:cs="Tahoma" w:hint="default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5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2012-06-27T17:56:00Z</dcterms:created>
  <dcterms:modified xsi:type="dcterms:W3CDTF">2012-06-27T17:57:00Z</dcterms:modified>
</cp:coreProperties>
</file>