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10" w:rsidRDefault="00F15172">
      <w:r>
        <w:rPr>
          <w:rFonts w:ascii="Tahoma" w:eastAsia="Times New Roman" w:hAnsi="Tahoma" w:cs="Tahoma"/>
          <w:b/>
          <w:bCs/>
          <w:sz w:val="27"/>
          <w:szCs w:val="27"/>
        </w:rPr>
        <w:t>AC313                                      Chapter 1</w:t>
      </w:r>
      <w:r>
        <w:rPr>
          <w:rFonts w:ascii="Tahoma" w:eastAsia="Times New Roman" w:hAnsi="Tahoma" w:cs="Tahoma"/>
          <w:b/>
          <w:bCs/>
          <w:sz w:val="27"/>
          <w:szCs w:val="27"/>
        </w:rPr>
        <w:t>6</w:t>
      </w:r>
      <w:bookmarkStart w:id="0" w:name="_GoBack"/>
      <w:bookmarkEnd w:id="0"/>
      <w:r>
        <w:rPr>
          <w:rFonts w:ascii="Tahoma" w:eastAsia="Times New Roman" w:hAnsi="Tahoma" w:cs="Tahoma"/>
          <w:b/>
          <w:bCs/>
          <w:sz w:val="27"/>
          <w:szCs w:val="27"/>
        </w:rPr>
        <w:t xml:space="preserve">                                   </w:t>
      </w:r>
      <w:r w:rsidRPr="00E26E52">
        <w:rPr>
          <w:rFonts w:ascii="Tahoma" w:eastAsia="Times New Roman" w:hAnsi="Tahoma" w:cs="Tahoma"/>
          <w:b/>
          <w:bCs/>
          <w:sz w:val="27"/>
          <w:szCs w:val="27"/>
        </w:rPr>
        <w:t>Glossary</w:t>
      </w:r>
      <w:r w:rsidRPr="00E26E52">
        <w:rPr>
          <w:rFonts w:ascii="Verdana" w:eastAsia="Times New Roman" w:hAnsi="Verdana" w:cs="Times New Roman"/>
          <w:sz w:val="18"/>
          <w:szCs w:val="18"/>
        </w:rPr>
        <w:br/>
      </w:r>
    </w:p>
    <w:tbl>
      <w:tblPr>
        <w:tblW w:w="0" w:type="auto"/>
        <w:tblCellSpacing w:w="0" w:type="dxa"/>
        <w:tblCellMar>
          <w:left w:w="0" w:type="dxa"/>
          <w:right w:w="0" w:type="dxa"/>
        </w:tblCellMar>
        <w:tblLook w:val="04A0" w:firstRow="1" w:lastRow="0" w:firstColumn="1" w:lastColumn="0" w:noHBand="0" w:noVBand="1"/>
      </w:tblPr>
      <w:tblGrid>
        <w:gridCol w:w="1881"/>
        <w:gridCol w:w="7479"/>
      </w:tblGrid>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acquit</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Act of discharging a defendant (e.g., a taxpayer) from charges previously asserted by the plaintiff.</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87" name="Picture 87"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86" name="Picture 86"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85" name="Picture 85"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ad valorem tax</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Tax imposed by applying a rate to the value of the property taxed.</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84" name="Picture 84"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83" name="Picture 83"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82" name="Picture 82"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Bank Secrecy Act</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Act of Congress that authorizes the United States Treasury Department to require financial institutions to report any suspicious transaction that could indicate violations of laws or regulations.</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81" name="Picture 81"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80" name="Picture 80"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79" name="Picture 79"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cash hoard</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Accumulated amount of cash kept usually without the knowledge of others.</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78" name="Picture 78"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77" name="Picture 77"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76" name="Picture 76"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cash T</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 xml:space="preserve">Analysis of the cash received and spent by the taxpayer during a specified period; similar to the indirect method called </w:t>
            </w:r>
            <w:r w:rsidRPr="00F15172">
              <w:rPr>
                <w:rFonts w:ascii="Verdana" w:eastAsia="Times New Roman" w:hAnsi="Verdana" w:cs="Times New Roman"/>
                <w:i/>
                <w:iCs/>
                <w:sz w:val="18"/>
                <w:szCs w:val="18"/>
              </w:rPr>
              <w:t xml:space="preserve">source and applications of funds, </w:t>
            </w:r>
            <w:r w:rsidRPr="00F15172">
              <w:rPr>
                <w:rFonts w:ascii="Verdana" w:eastAsia="Times New Roman" w:hAnsi="Verdana" w:cs="Times New Roman"/>
                <w:sz w:val="18"/>
                <w:szCs w:val="18"/>
              </w:rPr>
              <w:t>but dissimilar to it because it is limited to an analysis of cash only.</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75" name="Picture 75"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74" name="Picture 74"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73" name="Picture 73"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compliance auditing</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Act of determining whether a person or entity has correctly complied with a law (e.g., the Internal Revenue Code) or procedure.</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72" name="Picture 72"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71" name="Picture 71"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70" name="Picture 70"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conspiracy</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Act in which two or more persons work (usually in secrecy) together to commit an illegal act or use illegal means to achieve an objective.</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69" name="Picture 69"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68" name="Picture 68"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67" name="Picture 67"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direct method</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Method of proof by which a specific item of income is identified as being unreported.</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66" name="Picture 66"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65" name="Picture 65"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64" name="Picture 64"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estimated tax</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Tax paid quarterly in advance of filing a return; the payment reduces the amount of tax due with the annual return.</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63" name="Picture 63"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62" name="Picture 62"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61" name="Picture 61"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felony</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A crime for which the potential punishment is either death or imprisonment of more than one year.</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60" name="Picture 60"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59" name="Picture 59"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58" name="Picture 58"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Form 1099</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Informational form sent to taxpayers to indicate their earnings on certain types of gross income during the past tax year such as interest, dividends, and proceeds from the sale of stock.</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57" name="Picture 57"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56" name="Picture 56"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55" name="Picture 55"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good faith belief</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Belief formulated without intent to deceive or manipulate.</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54" name="Picture 54"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53" name="Picture 53"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52" name="Picture 52"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indirect methods</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Methods of proof used to estimate understated income, such as taxable income, by reference to changes either in net worth or in the expenditures made by the person (or business) during the year.</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51" name="Picture 51"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50" name="Picture 50"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49" name="Picture 49"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joint return</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Income tax return filed by two persons who were legally married on the last day of their taxable year.</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48" name="Picture 48"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47" name="Picture 47"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46" name="Picture 46"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Klein conspiracy</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Tax conspiracy in which taxpayer is charged with conspiring with another person to obstruct the collection of income taxes.</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45" name="Picture 45"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44" name="Picture 44"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43" name="Picture 43"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lesser included offense doctrine</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Doctrine invoked when a taxpayer is charged with two or more sections of the law and one of the sections is incidental to the offense described in one of the other sections; the lesser offense is merged with the section representing the more serious offense so that the taxpayer cannot be charged with both lesser and more serious offenses.</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42" name="Picture 42"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41" name="Picture 41"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40" name="Picture 40"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mail fraud</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Use of the United States Postal Service or any commercial or private mail service to further a scheme or fraud.</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39" name="Picture 39"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38" name="Picture 38"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37" name="Picture 37"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misdemeanor</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Crime for which the maximum penalty is imprisonment of less than one year.</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36" name="Picture 36"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35" name="Picture 35"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34" name="Picture 34"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money laundering</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Process of obfuscating the source of illegally obtained income so that the income can be used for legitimate purposes.</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33" name="Picture 33"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32" name="Picture 32"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31" name="Picture 31"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 xml:space="preserve">net operating loss </w:t>
            </w:r>
            <w:r w:rsidRPr="00F15172">
              <w:rPr>
                <w:rFonts w:ascii="Verdana" w:eastAsia="Times New Roman" w:hAnsi="Verdana" w:cs="Times New Roman"/>
                <w:b/>
                <w:bCs/>
                <w:sz w:val="18"/>
                <w:szCs w:val="18"/>
              </w:rPr>
              <w:lastRenderedPageBreak/>
              <w:t>(NOL)</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lastRenderedPageBreak/>
              <w:t xml:space="preserve">The excess of business deductions over business revenues; can be carried back </w:t>
            </w:r>
            <w:r w:rsidRPr="00F15172">
              <w:rPr>
                <w:rFonts w:ascii="Verdana" w:eastAsia="Times New Roman" w:hAnsi="Verdana" w:cs="Times New Roman"/>
                <w:sz w:val="18"/>
                <w:szCs w:val="18"/>
              </w:rPr>
              <w:lastRenderedPageBreak/>
              <w:t>two years to obtain an immediate refund and carried forward for 20 years to reduce the taxable income of those years until the loss is exhausted.</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extent cx="8255" cy="47625"/>
                  <wp:effectExtent l="0" t="0" r="0" b="0"/>
                  <wp:docPr id="30" name="Picture 30"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29" name="Picture 29"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28" name="Picture 28"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prima facie</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Term that means "on the face"; refers to the appearance of what is being examined, not necessarily the true nature of the examined item.</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27" name="Picture 27"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26" name="Picture 26"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25" name="Picture 25"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standard of proof</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 xml:space="preserve">Level of proof required in court; in criminal cases, is </w:t>
            </w:r>
            <w:r w:rsidRPr="00F15172">
              <w:rPr>
                <w:rFonts w:ascii="Verdana" w:eastAsia="Times New Roman" w:hAnsi="Verdana" w:cs="Times New Roman"/>
                <w:i/>
                <w:iCs/>
                <w:sz w:val="18"/>
                <w:szCs w:val="18"/>
              </w:rPr>
              <w:t xml:space="preserve">beyond a reasonable doubt; </w:t>
            </w:r>
            <w:r w:rsidRPr="00F15172">
              <w:rPr>
                <w:rFonts w:ascii="Verdana" w:eastAsia="Times New Roman" w:hAnsi="Verdana" w:cs="Times New Roman"/>
                <w:sz w:val="18"/>
                <w:szCs w:val="18"/>
              </w:rPr>
              <w:t xml:space="preserve">in civil fraud cases, is </w:t>
            </w:r>
            <w:r w:rsidRPr="00F15172">
              <w:rPr>
                <w:rFonts w:ascii="Verdana" w:eastAsia="Times New Roman" w:hAnsi="Verdana" w:cs="Times New Roman"/>
                <w:i/>
                <w:iCs/>
                <w:sz w:val="18"/>
                <w:szCs w:val="18"/>
              </w:rPr>
              <w:t xml:space="preserve">clear and convincing </w:t>
            </w:r>
            <w:r w:rsidRPr="00F15172">
              <w:rPr>
                <w:rFonts w:ascii="Verdana" w:eastAsia="Times New Roman" w:hAnsi="Verdana" w:cs="Times New Roman"/>
                <w:sz w:val="18"/>
                <w:szCs w:val="18"/>
              </w:rPr>
              <w:t xml:space="preserve">evidence. A lower standard, </w:t>
            </w:r>
            <w:r w:rsidRPr="00F15172">
              <w:rPr>
                <w:rFonts w:ascii="Verdana" w:eastAsia="Times New Roman" w:hAnsi="Verdana" w:cs="Times New Roman"/>
                <w:i/>
                <w:iCs/>
                <w:sz w:val="18"/>
                <w:szCs w:val="18"/>
              </w:rPr>
              <w:t xml:space="preserve">preponderance of the evidence, </w:t>
            </w:r>
            <w:r w:rsidRPr="00F15172">
              <w:rPr>
                <w:rFonts w:ascii="Verdana" w:eastAsia="Times New Roman" w:hAnsi="Verdana" w:cs="Times New Roman"/>
                <w:sz w:val="18"/>
                <w:szCs w:val="18"/>
              </w:rPr>
              <w:t>is often the burden of proof required of litigants to rebut the evidence presented by the plaintiff.</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24" name="Picture 24"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23" name="Picture 23"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22" name="Picture 22"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statute of limitations</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Period of time within which charges against a potential defendant must be brought; if charges are not brought within this period and the taxpayer raises it as a defense, the charges ordinarily must be dropped.</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21" name="Picture 21"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20" name="Picture 20"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19" name="Picture 19"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tax deficiency</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Excess of correct tax liability over the tax payments made by the taxpayer.</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18" name="Picture 18"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17" name="Picture 17"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16" name="Picture 16"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tax evasion</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Legal term for tax fraud.</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15" name="Picture 15"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14" name="Picture 14"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13" name="Picture 13"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tax fraud</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Act of deceiving or misrepresenting for the purpose of misstating a tax liability or to avoid the payment of tax.</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12" name="Picture 12"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11" name="Picture 11"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10" name="Picture 10"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tax protester</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Person who refuses to file a return or pay tax (or both) as a result of the belief that the taxing authority is not using the tax collected in a morally just manner or that the person is not subject to the tax.</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9" name="Picture 9"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8" name="Picture 8"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7" name="Picture 7"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W-3 form</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"Transmittal of Wage and Tax Statements" form on which the employer who pays wages and salaries reports to the Internal Revenue Service the amount of wages, federal income tax withheld, social security tax withheld, and other information filed; includes the number of W-2 forms transmitted.</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6" name="Picture 6"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5" name="Picture 5"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4" name="Picture 4"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W-4 form</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"Employee's Withholding Allowance Certificate" to be completed by the employee for the purpose of indicating the number of allowances the employee wishes to claim for withholding tax purposes.</w:t>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3" name="Picture 3"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gridSpan w:val="2"/>
            <w:shd w:val="clear" w:color="auto" w:fill="CCCCCC"/>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8255"/>
                  <wp:effectExtent l="0" t="0" r="0" b="0"/>
                  <wp:docPr id="2" name="Picture 2"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15172" w:rsidRPr="00F15172">
        <w:trPr>
          <w:tblCellSpacing w:w="0" w:type="dxa"/>
        </w:trPr>
        <w:tc>
          <w:tcPr>
            <w:tcW w:w="0" w:type="auto"/>
            <w:gridSpan w:val="2"/>
            <w:vAlign w:val="center"/>
            <w:hideMark/>
          </w:tcPr>
          <w:p w:rsidR="00F15172" w:rsidRPr="00F15172" w:rsidRDefault="00F15172" w:rsidP="00F15172">
            <w:pP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255" cy="47625"/>
                  <wp:effectExtent l="0" t="0" r="0" b="0"/>
                  <wp:docPr id="1" name="Picture 1"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highered.mheducation.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r w:rsidR="00F15172" w:rsidRPr="00F15172">
        <w:trPr>
          <w:tblCellSpacing w:w="0" w:type="dxa"/>
        </w:trPr>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b/>
                <w:bCs/>
                <w:sz w:val="18"/>
                <w:szCs w:val="18"/>
              </w:rPr>
              <w:t>wire fraud</w:t>
            </w:r>
            <w:r w:rsidRPr="00F15172">
              <w:rPr>
                <w:rFonts w:ascii="Verdana" w:eastAsia="Times New Roman" w:hAnsi="Verdana" w:cs="Times New Roman"/>
                <w:sz w:val="18"/>
                <w:szCs w:val="18"/>
              </w:rPr>
              <w:t>  </w:t>
            </w:r>
          </w:p>
        </w:tc>
        <w:tc>
          <w:tcPr>
            <w:tcW w:w="0" w:type="auto"/>
            <w:hideMark/>
          </w:tcPr>
          <w:p w:rsidR="00F15172" w:rsidRPr="00F15172" w:rsidRDefault="00F15172" w:rsidP="00F15172">
            <w:pPr>
              <w:rPr>
                <w:rFonts w:ascii="Verdana" w:eastAsia="Times New Roman" w:hAnsi="Verdana" w:cs="Times New Roman"/>
                <w:sz w:val="18"/>
                <w:szCs w:val="18"/>
              </w:rPr>
            </w:pPr>
            <w:r w:rsidRPr="00F15172">
              <w:rPr>
                <w:rFonts w:ascii="Verdana" w:eastAsia="Times New Roman" w:hAnsi="Verdana" w:cs="Times New Roman"/>
                <w:sz w:val="18"/>
                <w:szCs w:val="18"/>
              </w:rPr>
              <w:t>Use of electronic transmission to aid in the commission of a fraud.</w:t>
            </w:r>
          </w:p>
        </w:tc>
      </w:tr>
    </w:tbl>
    <w:p w:rsidR="00F15172" w:rsidRDefault="00F15172"/>
    <w:sectPr w:rsidR="00F15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72"/>
    <w:rsid w:val="00DB4910"/>
    <w:rsid w:val="00F1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172"/>
    <w:rPr>
      <w:rFonts w:ascii="Tahoma" w:hAnsi="Tahoma" w:cs="Tahoma"/>
      <w:sz w:val="16"/>
      <w:szCs w:val="16"/>
    </w:rPr>
  </w:style>
  <w:style w:type="character" w:customStyle="1" w:styleId="BalloonTextChar">
    <w:name w:val="Balloon Text Char"/>
    <w:basedOn w:val="DefaultParagraphFont"/>
    <w:link w:val="BalloonText"/>
    <w:uiPriority w:val="99"/>
    <w:semiHidden/>
    <w:rsid w:val="00F15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172"/>
    <w:rPr>
      <w:rFonts w:ascii="Tahoma" w:hAnsi="Tahoma" w:cs="Tahoma"/>
      <w:sz w:val="16"/>
      <w:szCs w:val="16"/>
    </w:rPr>
  </w:style>
  <w:style w:type="character" w:customStyle="1" w:styleId="BalloonTextChar">
    <w:name w:val="Balloon Text Char"/>
    <w:basedOn w:val="DefaultParagraphFont"/>
    <w:link w:val="BalloonText"/>
    <w:uiPriority w:val="99"/>
    <w:semiHidden/>
    <w:rsid w:val="00F15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McMillian #2</dc:creator>
  <cp:lastModifiedBy>McMillian #2</cp:lastModifiedBy>
  <cp:revision>1</cp:revision>
  <dcterms:created xsi:type="dcterms:W3CDTF">2016-02-22T17:23:00Z</dcterms:created>
  <dcterms:modified xsi:type="dcterms:W3CDTF">2016-02-22T17:23:00Z</dcterms:modified>
</cp:coreProperties>
</file>